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890225">
        <w:rPr>
          <w:rFonts w:ascii="Times New Roman" w:hAnsi="Times New Roman" w:cs="Times New Roman"/>
          <w:b/>
          <w:sz w:val="26"/>
          <w:szCs w:val="26"/>
        </w:rPr>
        <w:t>4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890225">
        <w:rPr>
          <w:rFonts w:ascii="Times New Roman" w:hAnsi="Times New Roman" w:cs="Times New Roman"/>
          <w:b/>
          <w:sz w:val="26"/>
          <w:szCs w:val="26"/>
        </w:rPr>
        <w:t>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890225">
        <w:rPr>
          <w:rFonts w:ascii="Times New Roman" w:hAnsi="Times New Roman" w:cs="Times New Roman"/>
          <w:b/>
          <w:sz w:val="26"/>
          <w:szCs w:val="26"/>
        </w:rPr>
        <w:t>9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9676D">
        <w:rPr>
          <w:rFonts w:ascii="Times New Roman" w:hAnsi="Times New Roman" w:cs="Times New Roman"/>
          <w:sz w:val="26"/>
          <w:szCs w:val="26"/>
        </w:rPr>
        <w:t>язьма</w:t>
      </w:r>
      <w:proofErr w:type="spellEnd"/>
      <w:r w:rsidRPr="00D967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D0413">
        <w:rPr>
          <w:rFonts w:ascii="Times New Roman" w:hAnsi="Times New Roman" w:cs="Times New Roman"/>
          <w:sz w:val="26"/>
          <w:szCs w:val="26"/>
        </w:rPr>
        <w:t>09.08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890225">
        <w:rPr>
          <w:rFonts w:ascii="Times New Roman" w:hAnsi="Times New Roman" w:cs="Times New Roman"/>
          <w:sz w:val="26"/>
          <w:szCs w:val="26"/>
        </w:rPr>
        <w:t>4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890225">
        <w:rPr>
          <w:rFonts w:ascii="Times New Roman" w:hAnsi="Times New Roman" w:cs="Times New Roman"/>
          <w:sz w:val="26"/>
          <w:szCs w:val="26"/>
        </w:rPr>
        <w:t>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890225">
        <w:rPr>
          <w:rFonts w:ascii="Times New Roman" w:hAnsi="Times New Roman" w:cs="Times New Roman"/>
          <w:sz w:val="26"/>
          <w:szCs w:val="26"/>
        </w:rPr>
        <w:t>9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3840B0">
        <w:rPr>
          <w:rFonts w:ascii="Times New Roman" w:hAnsi="Times New Roman" w:cs="Times New Roman"/>
          <w:sz w:val="26"/>
          <w:szCs w:val="26"/>
        </w:rPr>
        <w:t xml:space="preserve">Предлагаемые </w:t>
      </w:r>
      <w:r w:rsidR="003840B0" w:rsidRPr="00F04DCD">
        <w:rPr>
          <w:rFonts w:ascii="Times New Roman" w:hAnsi="Times New Roman" w:cs="Times New Roman"/>
          <w:sz w:val="26"/>
          <w:szCs w:val="26"/>
        </w:rPr>
        <w:t>Администраци</w:t>
      </w:r>
      <w:r w:rsidR="003840B0">
        <w:rPr>
          <w:rFonts w:ascii="Times New Roman" w:hAnsi="Times New Roman" w:cs="Times New Roman"/>
          <w:sz w:val="26"/>
          <w:szCs w:val="26"/>
        </w:rPr>
        <w:t>ей</w:t>
      </w:r>
      <w:r w:rsidR="003840B0" w:rsidRPr="00F04DC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«Вяземский район» Смоленской области </w:t>
      </w:r>
      <w:r w:rsidR="003840B0">
        <w:rPr>
          <w:rFonts w:ascii="Times New Roman" w:hAnsi="Times New Roman" w:cs="Times New Roman"/>
          <w:sz w:val="26"/>
          <w:szCs w:val="26"/>
        </w:rPr>
        <w:t xml:space="preserve">поправки в </w:t>
      </w:r>
      <w:r w:rsidR="003840B0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3840B0">
        <w:rPr>
          <w:rFonts w:ascii="Times New Roman" w:hAnsi="Times New Roman" w:cs="Times New Roman"/>
          <w:sz w:val="26"/>
          <w:szCs w:val="26"/>
        </w:rPr>
        <w:t>бюджет</w:t>
      </w:r>
      <w:r w:rsidR="003840B0">
        <w:rPr>
          <w:rFonts w:ascii="Times New Roman" w:hAnsi="Times New Roman" w:cs="Times New Roman"/>
          <w:sz w:val="26"/>
          <w:szCs w:val="26"/>
        </w:rPr>
        <w:t>е</w:t>
      </w:r>
      <w:r w:rsidR="003840B0">
        <w:rPr>
          <w:rFonts w:ascii="Times New Roman" w:hAnsi="Times New Roman" w:cs="Times New Roman"/>
          <w:sz w:val="26"/>
          <w:szCs w:val="26"/>
        </w:rPr>
        <w:t xml:space="preserve"> не затрагивают основные характеристики бюджета. 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134"/>
      </w:tblGrid>
      <w:tr w:rsidR="00A162EB" w:rsidRPr="00D9676D" w:rsidTr="001B300A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9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C0B">
              <w:rPr>
                <w:rFonts w:ascii="Times New Roman" w:hAnsi="Times New Roman" w:cs="Times New Roman"/>
                <w:sz w:val="24"/>
                <w:szCs w:val="24"/>
              </w:rPr>
              <w:t xml:space="preserve"> (с изм. от 27.04.2016 №35</w:t>
            </w:r>
            <w:r w:rsidR="00451B51">
              <w:rPr>
                <w:rFonts w:ascii="Times New Roman" w:hAnsi="Times New Roman" w:cs="Times New Roman"/>
                <w:sz w:val="24"/>
                <w:szCs w:val="24"/>
              </w:rPr>
              <w:t>, от 25.05.2016 №52</w:t>
            </w:r>
            <w:r w:rsidR="00892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134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1140356,2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1140356,2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451B51" w:rsidRPr="00EF5F9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497512,3</w:t>
            </w:r>
          </w:p>
        </w:tc>
        <w:tc>
          <w:tcPr>
            <w:tcW w:w="1843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497512,3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451B51" w:rsidRPr="00A162E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642843,9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642843,9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650755,5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650755,5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451B51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451B51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843" w:type="dxa"/>
          </w:tcPr>
          <w:p w:rsidR="00451B51" w:rsidRPr="00EF5F9B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134" w:type="dxa"/>
          </w:tcPr>
          <w:p w:rsidR="00451B51" w:rsidRPr="00EF5F9B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1199535,1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1199535,1</w:t>
            </w:r>
          </w:p>
        </w:tc>
        <w:tc>
          <w:tcPr>
            <w:tcW w:w="1134" w:type="dxa"/>
          </w:tcPr>
          <w:p w:rsidR="00451B51" w:rsidRPr="00EF5F9B" w:rsidRDefault="00451B51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451B51" w:rsidRPr="0050269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06,3</w:t>
            </w:r>
          </w:p>
        </w:tc>
        <w:tc>
          <w:tcPr>
            <w:tcW w:w="1843" w:type="dxa"/>
          </w:tcPr>
          <w:p w:rsidR="00451B51" w:rsidRPr="00502691" w:rsidRDefault="00451B51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06,3</w:t>
            </w:r>
          </w:p>
        </w:tc>
        <w:tc>
          <w:tcPr>
            <w:tcW w:w="1134" w:type="dxa"/>
          </w:tcPr>
          <w:p w:rsidR="00451B51" w:rsidRPr="00502691" w:rsidRDefault="00451B51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451B51" w:rsidRPr="0050269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654228,8</w:t>
            </w:r>
          </w:p>
        </w:tc>
        <w:tc>
          <w:tcPr>
            <w:tcW w:w="1843" w:type="dxa"/>
          </w:tcPr>
          <w:p w:rsidR="00451B51" w:rsidRPr="00502691" w:rsidRDefault="00451B51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654228,8</w:t>
            </w:r>
          </w:p>
        </w:tc>
        <w:tc>
          <w:tcPr>
            <w:tcW w:w="1134" w:type="dxa"/>
          </w:tcPr>
          <w:p w:rsidR="00451B51" w:rsidRPr="00502691" w:rsidRDefault="00451B51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451B51" w:rsidRPr="00EF5F9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451B51" w:rsidRPr="00EF5F9B" w:rsidRDefault="00451B51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59178,9 (11,9%)</w:t>
            </w:r>
          </w:p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47794,0</w:t>
            </w:r>
          </w:p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843" w:type="dxa"/>
          </w:tcPr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59178,9 (11,9%)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47794,0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134" w:type="dxa"/>
          </w:tcPr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46642,3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46642,3</w:t>
            </w:r>
          </w:p>
        </w:tc>
        <w:tc>
          <w:tcPr>
            <w:tcW w:w="1134" w:type="dxa"/>
          </w:tcPr>
          <w:p w:rsidR="00451B51" w:rsidRPr="00EF5F9B" w:rsidRDefault="00451B51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бюджетов поселений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134" w:type="dxa"/>
          </w:tcPr>
          <w:p w:rsidR="00451B51" w:rsidRPr="00EF5F9B" w:rsidRDefault="00451B51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451B51" w:rsidRPr="00D93FA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51B51" w:rsidRPr="00D93FA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843" w:type="dxa"/>
          </w:tcPr>
          <w:p w:rsidR="00451B51" w:rsidRPr="00D93FA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134" w:type="dxa"/>
          </w:tcPr>
          <w:p w:rsidR="00451B51" w:rsidRPr="00D93FA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1161596,2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1161596,2</w:t>
            </w:r>
          </w:p>
        </w:tc>
        <w:tc>
          <w:tcPr>
            <w:tcW w:w="1134" w:type="dxa"/>
          </w:tcPr>
          <w:p w:rsidR="00451B51" w:rsidRPr="00EF5F9B" w:rsidRDefault="00451B51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лицам, указанным в ст.78 БК РФ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134" w:type="dxa"/>
          </w:tcPr>
          <w:p w:rsidR="00451B51" w:rsidRDefault="00451B51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некоммерческим организациям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2016 год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134" w:type="dxa"/>
          </w:tcPr>
          <w:p w:rsidR="00451B51" w:rsidRDefault="00451B51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фонд финансовой поддержки поселений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трансфертов, предоставляемых их бюджета района бюджетам поселений на 2016 год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134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451B51" w:rsidRPr="00A162EB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451B51" w:rsidRPr="00EF5F9B" w:rsidRDefault="00451B51" w:rsidP="00C50F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451B51" w:rsidRPr="00EF5F9B" w:rsidRDefault="00451B51" w:rsidP="00F239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B40E1" w:rsidRDefault="00B763A2" w:rsidP="00783CCE">
      <w:pPr>
        <w:pStyle w:val="ConsPlusNormal"/>
        <w:ind w:firstLine="540"/>
        <w:jc w:val="both"/>
      </w:pPr>
      <w:r w:rsidRPr="00D9676D">
        <w:lastRenderedPageBreak/>
        <w:tab/>
      </w:r>
      <w:r w:rsidR="00451B51">
        <w:t>Изменения связаны с перераспределением бюджетных сре</w:t>
      </w:r>
      <w:proofErr w:type="gramStart"/>
      <w:r w:rsidR="00451B51">
        <w:t>дств в р</w:t>
      </w:r>
      <w:proofErr w:type="gramEnd"/>
      <w:r w:rsidR="00451B51">
        <w:t xml:space="preserve">амках </w:t>
      </w:r>
      <w:r w:rsidR="00874534">
        <w:t xml:space="preserve">реализации </w:t>
      </w:r>
      <w:r w:rsidR="00451B51">
        <w:t xml:space="preserve">муниципальной программы </w:t>
      </w:r>
      <w:r w:rsidR="00874534">
        <w:t>«</w:t>
      </w:r>
      <w:r w:rsidR="00874534" w:rsidRPr="00874534">
        <w:t>Развитие  дорожно-транспортного комплекса муниципального образования «Вяземский район» Смоленской области на 2015-2017 годы</w:t>
      </w:r>
      <w:r w:rsidR="00874534">
        <w:t xml:space="preserve">» по подпрограмме «Создание условий для обеспечения транспортного обслуживания населения автомобильным транспортом на пригородных маршрутах на территории муниципального образования». </w:t>
      </w:r>
      <w:proofErr w:type="gramStart"/>
      <w:r w:rsidR="00874534">
        <w:t xml:space="preserve">По данной подпрограмме </w:t>
      </w:r>
      <w:r w:rsidR="00783CCE">
        <w:t>утверждены бюджетные ассигнования на предоставление с</w:t>
      </w:r>
      <w:r w:rsidR="00783CCE">
        <w:t>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0C2BAE">
        <w:t>,</w:t>
      </w:r>
      <w:r w:rsidR="00783CCE" w:rsidRPr="00783CCE">
        <w:t xml:space="preserve"> </w:t>
      </w:r>
      <w:r w:rsidR="00783CCE">
        <w:t>предоставля</w:t>
      </w:r>
      <w:r w:rsidR="000C2BAE">
        <w:t>емые</w:t>
      </w:r>
      <w:r w:rsidR="00783CCE">
        <w:t xml:space="preserve">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</w:r>
      <w:r w:rsidR="000C2BAE">
        <w:t xml:space="preserve"> в соответствии со ст. 78 БК</w:t>
      </w:r>
      <w:proofErr w:type="gramEnd"/>
      <w:r w:rsidR="000C2BAE">
        <w:t xml:space="preserve"> РФ, а именно субсиди</w:t>
      </w:r>
      <w:r w:rsidR="003B40E1">
        <w:t>и</w:t>
      </w:r>
      <w:r w:rsidR="000C2BAE">
        <w:t xml:space="preserve">, в целях возмещения затрат в связи с оказанием услуг по осуществлению пассажирских перевозок автомобильным транспортом в сумме 3383,8 тыс. рублей. </w:t>
      </w:r>
    </w:p>
    <w:p w:rsidR="003840B0" w:rsidRDefault="003B40E1" w:rsidP="00783CCE">
      <w:pPr>
        <w:pStyle w:val="ConsPlusNormal"/>
        <w:ind w:firstLine="540"/>
        <w:jc w:val="both"/>
      </w:pPr>
      <w:r>
        <w:t xml:space="preserve">Администрация предлагает перераспределить субсидии по цели их </w:t>
      </w:r>
      <w:r w:rsidR="003840B0">
        <w:t>предоставления:</w:t>
      </w:r>
    </w:p>
    <w:p w:rsidR="00783CCE" w:rsidRDefault="003840B0" w:rsidP="003840B0">
      <w:pPr>
        <w:pStyle w:val="ConsPlusNormal"/>
        <w:jc w:val="both"/>
      </w:pPr>
      <w:r>
        <w:t xml:space="preserve">- субсидии, </w:t>
      </w:r>
      <w:r w:rsidR="003B40E1">
        <w:t xml:space="preserve">в целях возмещения затрат в связи с оказанием услуг по осуществлению пассажирских перевозок автомобильным транспортом </w:t>
      </w:r>
      <w:r>
        <w:t>в</w:t>
      </w:r>
      <w:r w:rsidR="003B40E1">
        <w:t xml:space="preserve"> сумме </w:t>
      </w:r>
      <w:r>
        <w:t>1212,0</w:t>
      </w:r>
      <w:r w:rsidR="003B40E1">
        <w:t xml:space="preserve"> тыс. рублей</w:t>
      </w:r>
      <w:r>
        <w:t>;</w:t>
      </w:r>
    </w:p>
    <w:p w:rsidR="00D9400D" w:rsidRDefault="003840B0" w:rsidP="003840B0">
      <w:pPr>
        <w:pStyle w:val="ConsPlusNormal"/>
        <w:jc w:val="both"/>
      </w:pPr>
      <w:r>
        <w:t>- субсидии для восстановления платежеспособности МУП Автоколонна 1459 в сумме 2171,8 тыс. рублей.</w:t>
      </w:r>
    </w:p>
    <w:p w:rsidR="0043040C" w:rsidRPr="003840B0" w:rsidRDefault="003840B0" w:rsidP="003840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в рамках </w:t>
      </w:r>
      <w:r w:rsidR="0043040C" w:rsidRPr="0043040C">
        <w:rPr>
          <w:sz w:val="26"/>
          <w:szCs w:val="26"/>
        </w:rPr>
        <w:t>муниципальны</w:t>
      </w:r>
      <w:r>
        <w:rPr>
          <w:sz w:val="26"/>
          <w:szCs w:val="26"/>
        </w:rPr>
        <w:t>х</w:t>
      </w:r>
      <w:r w:rsidR="0043040C" w:rsidRPr="0043040C">
        <w:rPr>
          <w:sz w:val="26"/>
          <w:szCs w:val="26"/>
        </w:rPr>
        <w:t xml:space="preserve"> программам и непрограммны</w:t>
      </w:r>
      <w:r>
        <w:rPr>
          <w:sz w:val="26"/>
          <w:szCs w:val="26"/>
        </w:rPr>
        <w:t>х направлений</w:t>
      </w:r>
      <w:r w:rsidR="0043040C" w:rsidRPr="0043040C">
        <w:rPr>
          <w:sz w:val="26"/>
          <w:szCs w:val="26"/>
        </w:rPr>
        <w:t xml:space="preserve"> </w:t>
      </w:r>
      <w:r>
        <w:rPr>
          <w:sz w:val="26"/>
          <w:szCs w:val="26"/>
        </w:rPr>
        <w:t>не произойдет.</w:t>
      </w: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992"/>
      </w:tblGrid>
      <w:tr w:rsidR="0043040C" w:rsidRPr="007237A1" w:rsidTr="00691752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BB1F3B">
              <w:rPr>
                <w:bCs/>
                <w:iCs/>
                <w:color w:val="000000"/>
                <w:sz w:val="20"/>
                <w:szCs w:val="20"/>
              </w:rPr>
              <w:t>6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В решения о бюджете</w:t>
            </w:r>
          </w:p>
        </w:tc>
        <w:tc>
          <w:tcPr>
            <w:tcW w:w="1276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 xml:space="preserve">В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изменениях </w:t>
            </w:r>
          </w:p>
        </w:tc>
        <w:tc>
          <w:tcPr>
            <w:tcW w:w="992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462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874534" w:rsidRPr="00297911" w:rsidRDefault="00874534" w:rsidP="00804F6B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2015-2017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105993,9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105993,9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4627BE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874534" w:rsidRPr="00297911" w:rsidRDefault="00874534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</w:t>
            </w:r>
            <w:r w:rsidRPr="00883E78">
              <w:rPr>
                <w:color w:val="000000"/>
                <w:sz w:val="20"/>
                <w:szCs w:val="20"/>
              </w:rPr>
              <w:t>2016-2018</w:t>
            </w:r>
            <w:r>
              <w:rPr>
                <w:color w:val="000000"/>
                <w:sz w:val="20"/>
                <w:szCs w:val="20"/>
              </w:rPr>
              <w:t xml:space="preserve">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4627BE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874534" w:rsidRPr="00297911" w:rsidRDefault="00874534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 дорожно-транспортного комплекса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58788,1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58788,1</w:t>
            </w:r>
          </w:p>
        </w:tc>
        <w:tc>
          <w:tcPr>
            <w:tcW w:w="992" w:type="dxa"/>
          </w:tcPr>
          <w:p w:rsidR="00874534" w:rsidRDefault="00874534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035545" w:rsidRDefault="00874534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5971,9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5971,9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15982,5</w:t>
            </w:r>
          </w:p>
        </w:tc>
        <w:tc>
          <w:tcPr>
            <w:tcW w:w="1276" w:type="dxa"/>
          </w:tcPr>
          <w:p w:rsidR="00874534" w:rsidRPr="001A239E" w:rsidRDefault="00874534" w:rsidP="00AD429A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15982,5</w:t>
            </w:r>
          </w:p>
        </w:tc>
        <w:tc>
          <w:tcPr>
            <w:tcW w:w="992" w:type="dxa"/>
          </w:tcPr>
          <w:p w:rsidR="00874534" w:rsidRDefault="00874534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</w:p>
          <w:p w:rsidR="00874534" w:rsidRPr="00F04DCD" w:rsidRDefault="00874534" w:rsidP="0043040C">
            <w:pPr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Кадровая политика в здравоохранении </w:t>
            </w:r>
            <w:r w:rsidRPr="00297911">
              <w:rPr>
                <w:color w:val="000000"/>
                <w:sz w:val="20"/>
                <w:szCs w:val="20"/>
              </w:rPr>
              <w:lastRenderedPageBreak/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2375,0</w:t>
            </w:r>
          </w:p>
        </w:tc>
        <w:tc>
          <w:tcPr>
            <w:tcW w:w="1276" w:type="dxa"/>
          </w:tcPr>
          <w:p w:rsidR="00874534" w:rsidRPr="001A239E" w:rsidRDefault="00874534" w:rsidP="0043040C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2375,0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874534" w:rsidRPr="00F04DCD" w:rsidRDefault="00874534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59963,9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59963,9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874534" w:rsidRPr="00297911" w:rsidRDefault="00874534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2014-2017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43913,5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43913,5</w:t>
            </w:r>
          </w:p>
        </w:tc>
        <w:tc>
          <w:tcPr>
            <w:tcW w:w="992" w:type="dxa"/>
          </w:tcPr>
          <w:p w:rsidR="00874534" w:rsidRPr="00F04DCD" w:rsidRDefault="00874534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732092,6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732092,6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rPr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22535,9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22535,9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  <w:r w:rsidRPr="00F04DCD">
              <w:rPr>
                <w:color w:val="000000"/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субъектов 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4534" w:rsidRPr="001A239E" w:rsidRDefault="00874534" w:rsidP="00104396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rPr>
                <w:color w:val="000000"/>
                <w:sz w:val="20"/>
                <w:szCs w:val="20"/>
              </w:rPr>
            </w:pPr>
            <w:r w:rsidRPr="00F04DCD">
              <w:rPr>
                <w:color w:val="000000"/>
                <w:sz w:val="20"/>
                <w:szCs w:val="20"/>
              </w:rPr>
              <w:t>0,0</w:t>
            </w:r>
          </w:p>
          <w:p w:rsidR="00874534" w:rsidRPr="00F04DCD" w:rsidRDefault="00874534" w:rsidP="0043040C">
            <w:pPr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874534" w:rsidRPr="00297911" w:rsidRDefault="00874534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</w:t>
            </w:r>
            <w:r>
              <w:rPr>
                <w:sz w:val="20"/>
                <w:szCs w:val="20"/>
              </w:rPr>
              <w:t>8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85844,6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1A239E">
              <w:rPr>
                <w:color w:val="000000"/>
                <w:sz w:val="20"/>
                <w:szCs w:val="20"/>
              </w:rPr>
              <w:t>85844,6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874534" w:rsidRPr="00297911" w:rsidRDefault="00874534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средств массовой информации в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</w:t>
            </w:r>
            <w:r>
              <w:rPr>
                <w:color w:val="000000"/>
                <w:sz w:val="20"/>
                <w:szCs w:val="20"/>
              </w:rPr>
              <w:t xml:space="preserve">2015-2018 годы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3255,2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3255,2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</w:p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3411,4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3411,4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874534" w:rsidRPr="007237A1" w:rsidTr="00583FDD">
        <w:trPr>
          <w:trHeight w:val="1130"/>
        </w:trPr>
        <w:tc>
          <w:tcPr>
            <w:tcW w:w="567" w:type="dxa"/>
          </w:tcPr>
          <w:p w:rsidR="00874534" w:rsidRPr="004627BE" w:rsidRDefault="00874534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  <w:vAlign w:val="bottom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2015-2017 годы на территории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области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754,0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20"/>
                <w:szCs w:val="20"/>
              </w:rPr>
            </w:pPr>
            <w:r w:rsidRPr="001A239E">
              <w:rPr>
                <w:sz w:val="20"/>
                <w:szCs w:val="20"/>
              </w:rPr>
              <w:t>754,0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  <w:r w:rsidRPr="00F04DCD">
              <w:rPr>
                <w:sz w:val="20"/>
                <w:szCs w:val="20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</w:p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</w:p>
          <w:p w:rsidR="00874534" w:rsidRPr="00F04DCD" w:rsidRDefault="00874534" w:rsidP="00691752">
            <w:pPr>
              <w:jc w:val="both"/>
              <w:rPr>
                <w:sz w:val="20"/>
                <w:szCs w:val="20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220F3" w:rsidRDefault="00874534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на 2014-2016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  <w:r w:rsidRPr="00F04DCD">
              <w:rPr>
                <w:sz w:val="18"/>
                <w:szCs w:val="18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220F3" w:rsidRDefault="00874534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Социальная поддержка и реабилитация инвалидов Вяземского района Смоленской области на 2014-2016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</w:p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220F3" w:rsidRDefault="00874534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5443,4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5443,4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</w:p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</w:p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</w:tr>
      <w:tr w:rsidR="00874534" w:rsidRPr="007237A1" w:rsidTr="00691752">
        <w:tc>
          <w:tcPr>
            <w:tcW w:w="567" w:type="dxa"/>
          </w:tcPr>
          <w:p w:rsidR="00874534" w:rsidRPr="004220F3" w:rsidRDefault="00874534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Разработка проекта схемы размещения рекламных конструкций на территории муниципального образования «Вяземский </w:t>
            </w:r>
            <w:r w:rsidRPr="00297911">
              <w:rPr>
                <w:sz w:val="20"/>
                <w:szCs w:val="20"/>
              </w:rPr>
              <w:lastRenderedPageBreak/>
              <w:t>район» Смоленской области на 2015-2017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874534" w:rsidRPr="00F04DCD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74534" w:rsidRPr="00F04DCD" w:rsidRDefault="00874534" w:rsidP="0043040C">
            <w:pPr>
              <w:jc w:val="both"/>
              <w:rPr>
                <w:sz w:val="18"/>
                <w:szCs w:val="18"/>
              </w:rPr>
            </w:pP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 w:rsidRPr="00D4479D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4253" w:type="dxa"/>
          </w:tcPr>
          <w:p w:rsidR="00874534" w:rsidRPr="00297911" w:rsidRDefault="00874534" w:rsidP="00963DCB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Устойчивое развитие сельских территорий муниципального образования «Вяземский район» Смоленской области на </w:t>
            </w:r>
            <w:r w:rsidRPr="00883E78">
              <w:rPr>
                <w:sz w:val="20"/>
                <w:szCs w:val="20"/>
              </w:rPr>
              <w:t>2016-2018</w:t>
            </w:r>
            <w:r>
              <w:rPr>
                <w:sz w:val="20"/>
                <w:szCs w:val="20"/>
              </w:rPr>
              <w:t xml:space="preserve"> годы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 w:rsidRPr="00E03F9D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74534" w:rsidRPr="00D4479D" w:rsidRDefault="00874534" w:rsidP="008745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874534" w:rsidRPr="00297911" w:rsidRDefault="00874534" w:rsidP="00D914D8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Демографическое развитие муниципального образования «Вяземский район» Смоленской области на 2015-2017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51,0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13212,0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13212,0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кадрового потенциала в Администрации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Строительство шахтных колодцев, расположенных на территории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74534" w:rsidRPr="00E03F9D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3" w:type="dxa"/>
          </w:tcPr>
          <w:p w:rsidR="00874534" w:rsidRPr="00297911" w:rsidRDefault="00874534" w:rsidP="00583FDD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Построение и развитие аппаратно-программного комплекса «Безопасный город» на территории Вяземского района на 2016-2018 годы</w:t>
            </w:r>
          </w:p>
        </w:tc>
        <w:tc>
          <w:tcPr>
            <w:tcW w:w="709" w:type="dxa"/>
          </w:tcPr>
          <w:p w:rsidR="00874534" w:rsidRDefault="00874534" w:rsidP="00583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874534" w:rsidRPr="001A239E" w:rsidRDefault="00874534" w:rsidP="00104396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74534" w:rsidRPr="001A239E" w:rsidRDefault="00874534" w:rsidP="00691752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91451" w:rsidRDefault="00874534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874534" w:rsidRPr="00D91451" w:rsidRDefault="00874534" w:rsidP="00583FDD">
            <w:pPr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 xml:space="preserve">Расходы по муниципальным программам </w:t>
            </w:r>
          </w:p>
        </w:tc>
        <w:tc>
          <w:tcPr>
            <w:tcW w:w="709" w:type="dxa"/>
          </w:tcPr>
          <w:p w:rsidR="00874534" w:rsidRPr="00D91451" w:rsidRDefault="00874534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874534" w:rsidRPr="00D91451" w:rsidRDefault="00874534" w:rsidP="001043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1161596,2</w:t>
            </w:r>
          </w:p>
        </w:tc>
        <w:tc>
          <w:tcPr>
            <w:tcW w:w="1276" w:type="dxa"/>
          </w:tcPr>
          <w:p w:rsidR="00874534" w:rsidRPr="00D91451" w:rsidRDefault="00874534" w:rsidP="001A23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1161596,2</w:t>
            </w:r>
          </w:p>
        </w:tc>
        <w:tc>
          <w:tcPr>
            <w:tcW w:w="992" w:type="dxa"/>
          </w:tcPr>
          <w:p w:rsidR="00874534" w:rsidRPr="00D91451" w:rsidRDefault="00874534" w:rsidP="001A23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874534" w:rsidRDefault="00874534" w:rsidP="00D91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Контрольно-ревизионная комиссия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874534" w:rsidRDefault="00874534" w:rsidP="00F2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14758,9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14758,9</w:t>
            </w:r>
          </w:p>
        </w:tc>
        <w:tc>
          <w:tcPr>
            <w:tcW w:w="992" w:type="dxa"/>
          </w:tcPr>
          <w:p w:rsidR="00874534" w:rsidRDefault="00874534" w:rsidP="001A23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874534" w:rsidRDefault="00874534" w:rsidP="00F2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составлению списков в присяжные заседатели федеральных судов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ЗАГС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предоставления ритуальных услуг населению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74534" w:rsidRDefault="00874534" w:rsidP="001A23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874534" w:rsidRDefault="00874534" w:rsidP="008C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досуга (межбюджетный трансферт Вяземского городского поселения на День города)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</w:tcPr>
          <w:p w:rsidR="00874534" w:rsidRDefault="00874534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4479D" w:rsidRDefault="00874534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</w:tcPr>
          <w:p w:rsidR="00874534" w:rsidRDefault="00874534" w:rsidP="00AB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МП коммунального хозяйства, в целях возмещения затрат по оказанию услуг банного хозяйства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583FDD" w:rsidRDefault="00874534" w:rsidP="00583FDD">
            <w:pPr>
              <w:rPr>
                <w:sz w:val="18"/>
                <w:szCs w:val="18"/>
              </w:rPr>
            </w:pPr>
            <w:r w:rsidRPr="00583FDD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</w:tcPr>
          <w:p w:rsidR="00874534" w:rsidRPr="00583FDD" w:rsidRDefault="00874534" w:rsidP="00583FDD">
            <w:pPr>
              <w:rPr>
                <w:sz w:val="20"/>
                <w:szCs w:val="20"/>
              </w:rPr>
            </w:pPr>
            <w:r w:rsidRPr="00583FDD">
              <w:rPr>
                <w:sz w:val="20"/>
                <w:szCs w:val="20"/>
              </w:rPr>
              <w:t xml:space="preserve">Субсидия </w:t>
            </w:r>
            <w:r>
              <w:rPr>
                <w:sz w:val="20"/>
                <w:szCs w:val="20"/>
              </w:rPr>
              <w:t xml:space="preserve">МП коммунального хозяйства в виде финансовой помощи в целях восстановления платежеспособности </w:t>
            </w:r>
          </w:p>
        </w:tc>
        <w:tc>
          <w:tcPr>
            <w:tcW w:w="709" w:type="dxa"/>
          </w:tcPr>
          <w:p w:rsidR="00874534" w:rsidRPr="00583FDD" w:rsidRDefault="00874534" w:rsidP="00583F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Pr="00583FDD" w:rsidRDefault="00874534" w:rsidP="001043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1276" w:type="dxa"/>
          </w:tcPr>
          <w:p w:rsidR="00874534" w:rsidRPr="00583FDD" w:rsidRDefault="00874534" w:rsidP="00583F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:rsidR="00874534" w:rsidRPr="00583FDD" w:rsidRDefault="00874534" w:rsidP="00583F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74534" w:rsidRPr="00D4479D" w:rsidTr="00691752">
        <w:tc>
          <w:tcPr>
            <w:tcW w:w="567" w:type="dxa"/>
          </w:tcPr>
          <w:p w:rsidR="00874534" w:rsidRPr="00D91451" w:rsidRDefault="00874534" w:rsidP="00583FDD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874534" w:rsidRPr="00D91451" w:rsidRDefault="00874534" w:rsidP="00583FDD">
            <w:pPr>
              <w:rPr>
                <w:b/>
                <w:sz w:val="20"/>
                <w:szCs w:val="20"/>
              </w:rPr>
            </w:pPr>
            <w:r w:rsidRPr="00D91451">
              <w:rPr>
                <w:b/>
                <w:sz w:val="20"/>
                <w:szCs w:val="20"/>
              </w:rPr>
              <w:t>Расходы по непрограммные направления</w:t>
            </w:r>
          </w:p>
        </w:tc>
        <w:tc>
          <w:tcPr>
            <w:tcW w:w="709" w:type="dxa"/>
          </w:tcPr>
          <w:p w:rsidR="00874534" w:rsidRPr="00D91451" w:rsidRDefault="00874534" w:rsidP="00583FDD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874534" w:rsidRPr="00D91451" w:rsidRDefault="00874534" w:rsidP="001043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37938,9</w:t>
            </w:r>
          </w:p>
        </w:tc>
        <w:tc>
          <w:tcPr>
            <w:tcW w:w="1276" w:type="dxa"/>
          </w:tcPr>
          <w:p w:rsidR="00874534" w:rsidRPr="00D91451" w:rsidRDefault="00874534" w:rsidP="00583F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37938,9</w:t>
            </w:r>
          </w:p>
        </w:tc>
        <w:tc>
          <w:tcPr>
            <w:tcW w:w="992" w:type="dxa"/>
          </w:tcPr>
          <w:p w:rsidR="00874534" w:rsidRPr="00D91451" w:rsidRDefault="00874534" w:rsidP="001A23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874534" w:rsidRPr="007237A1" w:rsidTr="00691752">
        <w:tc>
          <w:tcPr>
            <w:tcW w:w="567" w:type="dxa"/>
          </w:tcPr>
          <w:p w:rsidR="00874534" w:rsidRPr="00B72338" w:rsidRDefault="00874534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874534" w:rsidRPr="00B72338" w:rsidRDefault="00874534" w:rsidP="0066550E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расходы 2016 год</w:t>
            </w:r>
          </w:p>
        </w:tc>
        <w:tc>
          <w:tcPr>
            <w:tcW w:w="709" w:type="dxa"/>
          </w:tcPr>
          <w:p w:rsidR="00874534" w:rsidRDefault="00874534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  <w:p w:rsidR="00874534" w:rsidRPr="00B72338" w:rsidRDefault="00874534" w:rsidP="006917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74534" w:rsidRDefault="00874534" w:rsidP="001043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1199535,1</w:t>
            </w:r>
          </w:p>
          <w:p w:rsidR="00874534" w:rsidRPr="00B72338" w:rsidRDefault="00874534" w:rsidP="0010439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74534" w:rsidRDefault="00874534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1199535,1</w:t>
            </w:r>
          </w:p>
          <w:p w:rsidR="00874534" w:rsidRPr="00B72338" w:rsidRDefault="00874534" w:rsidP="0069175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74534" w:rsidRDefault="00874534" w:rsidP="00691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  <w:p w:rsidR="00874534" w:rsidRPr="00B72338" w:rsidRDefault="00874534" w:rsidP="0069175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913F6" w:rsidRDefault="002913F6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соблюдения норм ст.78 БК РФ </w:t>
      </w:r>
      <w:r w:rsidR="00A85882">
        <w:rPr>
          <w:rFonts w:ascii="Times New Roman" w:hAnsi="Times New Roman" w:cs="Times New Roman"/>
          <w:sz w:val="26"/>
          <w:szCs w:val="26"/>
        </w:rPr>
        <w:t>Постановлением Администрации от 05.07.2016 №991 утвержден Порядок предоставления из бюджета муниципального образования «Вяземский район» Смоленской области субсидии для восстановления платежеспособности муниципальных унитарных предприятий.</w:t>
      </w:r>
      <w:bookmarkStart w:id="0" w:name="_GoBack"/>
      <w:bookmarkEnd w:id="0"/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Pr="00D9676D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4B" w:rsidRDefault="002C474B" w:rsidP="00482AB3">
      <w:r>
        <w:separator/>
      </w:r>
    </w:p>
  </w:endnote>
  <w:endnote w:type="continuationSeparator" w:id="0">
    <w:p w:rsidR="002C474B" w:rsidRDefault="002C474B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451B51" w:rsidRDefault="00451B5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472">
          <w:rPr>
            <w:noProof/>
          </w:rPr>
          <w:t>1</w:t>
        </w:r>
        <w:r>
          <w:fldChar w:fldCharType="end"/>
        </w:r>
      </w:p>
    </w:sdtContent>
  </w:sdt>
  <w:p w:rsidR="00451B51" w:rsidRDefault="00451B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4B" w:rsidRDefault="002C474B" w:rsidP="00482AB3">
      <w:r>
        <w:separator/>
      </w:r>
    </w:p>
  </w:footnote>
  <w:footnote w:type="continuationSeparator" w:id="0">
    <w:p w:rsidR="002C474B" w:rsidRDefault="002C474B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7596"/>
    <w:rsid w:val="00021644"/>
    <w:rsid w:val="00023942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3379"/>
    <w:rsid w:val="00084342"/>
    <w:rsid w:val="000865AC"/>
    <w:rsid w:val="000A13E2"/>
    <w:rsid w:val="000A35B4"/>
    <w:rsid w:val="000A5398"/>
    <w:rsid w:val="000C2BAE"/>
    <w:rsid w:val="000E30D9"/>
    <w:rsid w:val="000E7E38"/>
    <w:rsid w:val="000F659C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6283"/>
    <w:rsid w:val="0019781F"/>
    <w:rsid w:val="001A239E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65CA4"/>
    <w:rsid w:val="0027227E"/>
    <w:rsid w:val="002723D7"/>
    <w:rsid w:val="00272887"/>
    <w:rsid w:val="00275EE1"/>
    <w:rsid w:val="002771BF"/>
    <w:rsid w:val="0028060D"/>
    <w:rsid w:val="00282B4D"/>
    <w:rsid w:val="0028470B"/>
    <w:rsid w:val="00285F7B"/>
    <w:rsid w:val="002913F6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C474B"/>
    <w:rsid w:val="002D14F1"/>
    <w:rsid w:val="002D491B"/>
    <w:rsid w:val="002E003D"/>
    <w:rsid w:val="002E0D09"/>
    <w:rsid w:val="002E49EB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299E"/>
    <w:rsid w:val="00375B07"/>
    <w:rsid w:val="003770E8"/>
    <w:rsid w:val="003814B6"/>
    <w:rsid w:val="003840B0"/>
    <w:rsid w:val="003848EA"/>
    <w:rsid w:val="00385D07"/>
    <w:rsid w:val="00385E13"/>
    <w:rsid w:val="0038771A"/>
    <w:rsid w:val="003933CB"/>
    <w:rsid w:val="003A0173"/>
    <w:rsid w:val="003A228B"/>
    <w:rsid w:val="003A67A6"/>
    <w:rsid w:val="003B2C40"/>
    <w:rsid w:val="003B3D68"/>
    <w:rsid w:val="003B40E1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104D1"/>
    <w:rsid w:val="00416AAF"/>
    <w:rsid w:val="004174B9"/>
    <w:rsid w:val="00422866"/>
    <w:rsid w:val="0043040C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1B51"/>
    <w:rsid w:val="00452B64"/>
    <w:rsid w:val="0045328E"/>
    <w:rsid w:val="00465DA6"/>
    <w:rsid w:val="0047078F"/>
    <w:rsid w:val="0047588F"/>
    <w:rsid w:val="00477C92"/>
    <w:rsid w:val="0048185B"/>
    <w:rsid w:val="00481953"/>
    <w:rsid w:val="00482AB3"/>
    <w:rsid w:val="00482CDC"/>
    <w:rsid w:val="00484422"/>
    <w:rsid w:val="00485B3A"/>
    <w:rsid w:val="00496CFB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5472"/>
    <w:rsid w:val="004D6798"/>
    <w:rsid w:val="004D7900"/>
    <w:rsid w:val="004E3AE8"/>
    <w:rsid w:val="004F2BCE"/>
    <w:rsid w:val="00502691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47E36"/>
    <w:rsid w:val="00550C27"/>
    <w:rsid w:val="00554A90"/>
    <w:rsid w:val="0056473D"/>
    <w:rsid w:val="0057249E"/>
    <w:rsid w:val="00572BB3"/>
    <w:rsid w:val="00573483"/>
    <w:rsid w:val="00576A60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6006E2"/>
    <w:rsid w:val="006017FE"/>
    <w:rsid w:val="0060549E"/>
    <w:rsid w:val="00616F7C"/>
    <w:rsid w:val="0062225B"/>
    <w:rsid w:val="00622640"/>
    <w:rsid w:val="0062772E"/>
    <w:rsid w:val="006314F2"/>
    <w:rsid w:val="006329A5"/>
    <w:rsid w:val="00633CD9"/>
    <w:rsid w:val="00634965"/>
    <w:rsid w:val="006379E6"/>
    <w:rsid w:val="00637C96"/>
    <w:rsid w:val="00637EA6"/>
    <w:rsid w:val="00640912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7119F2"/>
    <w:rsid w:val="00717A60"/>
    <w:rsid w:val="00717D28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3CCE"/>
    <w:rsid w:val="00786B20"/>
    <w:rsid w:val="00787665"/>
    <w:rsid w:val="0079168C"/>
    <w:rsid w:val="007A6999"/>
    <w:rsid w:val="007B0F32"/>
    <w:rsid w:val="007C3CCB"/>
    <w:rsid w:val="007D5039"/>
    <w:rsid w:val="007E018F"/>
    <w:rsid w:val="007E3B80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74534"/>
    <w:rsid w:val="00880C93"/>
    <w:rsid w:val="00883E78"/>
    <w:rsid w:val="00884E62"/>
    <w:rsid w:val="008877F5"/>
    <w:rsid w:val="00890225"/>
    <w:rsid w:val="00892C0B"/>
    <w:rsid w:val="00894315"/>
    <w:rsid w:val="00897FB7"/>
    <w:rsid w:val="008A6D11"/>
    <w:rsid w:val="008A75E7"/>
    <w:rsid w:val="008B2157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055"/>
    <w:rsid w:val="009266AF"/>
    <w:rsid w:val="00931AF2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37E5"/>
    <w:rsid w:val="00A45A9C"/>
    <w:rsid w:val="00A477EE"/>
    <w:rsid w:val="00A5113F"/>
    <w:rsid w:val="00A51690"/>
    <w:rsid w:val="00A5735B"/>
    <w:rsid w:val="00A62473"/>
    <w:rsid w:val="00A651D0"/>
    <w:rsid w:val="00A65269"/>
    <w:rsid w:val="00A66E1F"/>
    <w:rsid w:val="00A66EB2"/>
    <w:rsid w:val="00A702B2"/>
    <w:rsid w:val="00A72A92"/>
    <w:rsid w:val="00A80449"/>
    <w:rsid w:val="00A85882"/>
    <w:rsid w:val="00A85A4A"/>
    <w:rsid w:val="00A92374"/>
    <w:rsid w:val="00A974E8"/>
    <w:rsid w:val="00AB02FF"/>
    <w:rsid w:val="00AB0DC1"/>
    <w:rsid w:val="00AB2E98"/>
    <w:rsid w:val="00AB5FEF"/>
    <w:rsid w:val="00AC54F8"/>
    <w:rsid w:val="00AC5879"/>
    <w:rsid w:val="00AC6605"/>
    <w:rsid w:val="00AD429A"/>
    <w:rsid w:val="00AD472D"/>
    <w:rsid w:val="00AE1294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8CB"/>
    <w:rsid w:val="00B93628"/>
    <w:rsid w:val="00B941C9"/>
    <w:rsid w:val="00B950B6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64EF7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5FF2"/>
    <w:rsid w:val="00E66504"/>
    <w:rsid w:val="00E7329A"/>
    <w:rsid w:val="00E92EFB"/>
    <w:rsid w:val="00E94AD2"/>
    <w:rsid w:val="00EA0766"/>
    <w:rsid w:val="00EA0F1E"/>
    <w:rsid w:val="00EC030E"/>
    <w:rsid w:val="00EC1845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240B"/>
    <w:rsid w:val="00FB7394"/>
    <w:rsid w:val="00FB7627"/>
    <w:rsid w:val="00FC22F9"/>
    <w:rsid w:val="00FC495E"/>
    <w:rsid w:val="00FC545C"/>
    <w:rsid w:val="00FD0413"/>
    <w:rsid w:val="00FD0649"/>
    <w:rsid w:val="00FD1198"/>
    <w:rsid w:val="00FD1362"/>
    <w:rsid w:val="00FD2EAA"/>
    <w:rsid w:val="00FD7CD7"/>
    <w:rsid w:val="00FD7D60"/>
    <w:rsid w:val="00FE1F2E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D960-03F9-47AF-B205-AD96377B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cp:lastPrinted>2016-04-25T12:06:00Z</cp:lastPrinted>
  <dcterms:created xsi:type="dcterms:W3CDTF">2016-08-09T11:07:00Z</dcterms:created>
  <dcterms:modified xsi:type="dcterms:W3CDTF">2016-08-09T12:40:00Z</dcterms:modified>
</cp:coreProperties>
</file>